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DF" w:rsidRPr="005977DF" w:rsidRDefault="005977DF" w:rsidP="00422FB4">
      <w:pPr>
        <w:rPr>
          <w:b/>
          <w:sz w:val="28"/>
          <w:szCs w:val="24"/>
        </w:rPr>
      </w:pPr>
      <w:r w:rsidRPr="005977DF">
        <w:rPr>
          <w:b/>
          <w:sz w:val="28"/>
          <w:szCs w:val="24"/>
        </w:rPr>
        <w:t>Teacher Resource</w:t>
      </w:r>
    </w:p>
    <w:p w:rsidR="005977DF" w:rsidRPr="005977DF" w:rsidRDefault="005977DF" w:rsidP="00422FB4">
      <w:pPr>
        <w:rPr>
          <w:rFonts w:eastAsia="Georgia"/>
          <w:b/>
          <w:sz w:val="28"/>
          <w:szCs w:val="24"/>
        </w:rPr>
      </w:pPr>
      <w:r w:rsidRPr="005977DF">
        <w:rPr>
          <w:b/>
          <w:sz w:val="28"/>
          <w:szCs w:val="24"/>
        </w:rPr>
        <w:t>“</w:t>
      </w:r>
      <w:r w:rsidRPr="005977DF">
        <w:rPr>
          <w:rFonts w:eastAsia="Georgia"/>
          <w:b/>
          <w:sz w:val="28"/>
          <w:szCs w:val="24"/>
        </w:rPr>
        <w:t>Amplifying Voices</w:t>
      </w:r>
      <w:r w:rsidRPr="005977DF">
        <w:rPr>
          <w:b/>
          <w:sz w:val="28"/>
          <w:szCs w:val="24"/>
        </w:rPr>
        <w:t>”</w:t>
      </w:r>
    </w:p>
    <w:p w:rsidR="005977DF" w:rsidRPr="00AD136A" w:rsidRDefault="005977DF" w:rsidP="00422FB4">
      <w:pPr>
        <w:rPr>
          <w:sz w:val="24"/>
          <w:szCs w:val="24"/>
        </w:rPr>
      </w:pPr>
      <w:r w:rsidRPr="00AD136A">
        <w:rPr>
          <w:sz w:val="24"/>
          <w:szCs w:val="24"/>
        </w:rPr>
        <w:t xml:space="preserve">Appropriate level(s) = Grade 12 (can </w:t>
      </w:r>
      <w:r w:rsidRPr="00AD136A">
        <w:rPr>
          <w:rFonts w:eastAsia="Georgia"/>
          <w:sz w:val="24"/>
          <w:szCs w:val="24"/>
        </w:rPr>
        <w:t>be adapted for any secondary ELA class)</w:t>
      </w:r>
    </w:p>
    <w:p w:rsidR="00EA6A5D" w:rsidRDefault="00EA6A5D" w:rsidP="00422FB4">
      <w:pPr>
        <w:rPr>
          <w:rFonts w:eastAsia="Georgia"/>
          <w:szCs w:val="24"/>
        </w:rPr>
      </w:pPr>
    </w:p>
    <w:p w:rsidR="005977DF" w:rsidRPr="00F237B4" w:rsidRDefault="005977DF" w:rsidP="00422FB4">
      <w:pPr>
        <w:rPr>
          <w:sz w:val="24"/>
          <w:lang w:val="en-US"/>
        </w:rPr>
      </w:pPr>
      <w:r w:rsidRPr="00AD136A">
        <w:rPr>
          <w:b/>
          <w:sz w:val="24"/>
        </w:rPr>
        <w:t>Objective</w:t>
      </w:r>
      <w:r w:rsidRPr="00AD136A">
        <w:rPr>
          <w:sz w:val="24"/>
        </w:rPr>
        <w:t xml:space="preserve">: Students will </w:t>
      </w:r>
      <w:r w:rsidR="00422FB4" w:rsidRPr="00AD136A">
        <w:rPr>
          <w:sz w:val="24"/>
        </w:rPr>
        <w:t>examine images of the Hampton National Historic Site and use TP-CASTT to read and analyze poetry in order to make predictions, generate inquiry questions, and reflect on issues and themes connected to Hampton and re</w:t>
      </w:r>
      <w:bookmarkStart w:id="0" w:name="_GoBack"/>
      <w:bookmarkEnd w:id="0"/>
      <w:r w:rsidR="00422FB4" w:rsidRPr="00AD136A">
        <w:rPr>
          <w:sz w:val="24"/>
        </w:rPr>
        <w:t>lated poems.</w:t>
      </w:r>
    </w:p>
    <w:p w:rsidR="00EA6A5D" w:rsidRPr="005977DF" w:rsidRDefault="00EA6A5D" w:rsidP="00422FB4">
      <w:pPr>
        <w:rPr>
          <w:rFonts w:eastAsia="Georgia"/>
          <w:b/>
          <w:szCs w:val="24"/>
        </w:rPr>
      </w:pPr>
    </w:p>
    <w:p w:rsidR="00EA6A5D" w:rsidRPr="005977DF" w:rsidRDefault="005977DF" w:rsidP="00422FB4">
      <w:pPr>
        <w:rPr>
          <w:rFonts w:eastAsia="Georgia"/>
          <w:sz w:val="24"/>
          <w:szCs w:val="24"/>
        </w:rPr>
      </w:pPr>
      <w:r w:rsidRPr="005977DF">
        <w:rPr>
          <w:rFonts w:eastAsia="Georgia"/>
          <w:b/>
          <w:sz w:val="24"/>
          <w:szCs w:val="24"/>
        </w:rPr>
        <w:t>Before Visiting the Site</w:t>
      </w:r>
      <w:r w:rsidRPr="005977DF">
        <w:rPr>
          <w:rFonts w:eastAsia="Georgia"/>
          <w:sz w:val="24"/>
          <w:szCs w:val="24"/>
        </w:rPr>
        <w:t xml:space="preserve"> (Classroom</w:t>
      </w:r>
      <w:r>
        <w:rPr>
          <w:rFonts w:eastAsia="Georgia"/>
          <w:sz w:val="24"/>
          <w:szCs w:val="24"/>
        </w:rPr>
        <w:t xml:space="preserve"> Activities</w:t>
      </w:r>
      <w:r w:rsidRPr="005977DF">
        <w:rPr>
          <w:rFonts w:eastAsia="Georgia"/>
          <w:sz w:val="24"/>
          <w:szCs w:val="24"/>
        </w:rPr>
        <w:t>)</w:t>
      </w:r>
    </w:p>
    <w:p w:rsidR="00EA6A5D" w:rsidRPr="005977DF" w:rsidRDefault="005977DF" w:rsidP="00422FB4">
      <w:pPr>
        <w:rPr>
          <w:rFonts w:eastAsia="Georgia"/>
          <w:szCs w:val="24"/>
        </w:rPr>
      </w:pPr>
      <w:r w:rsidRPr="005977DF">
        <w:rPr>
          <w:rFonts w:eastAsia="Georgia"/>
          <w:szCs w:val="24"/>
        </w:rPr>
        <w:t xml:space="preserve"> </w:t>
      </w:r>
    </w:p>
    <w:p w:rsidR="00EA6A5D" w:rsidRPr="005977DF" w:rsidRDefault="005977DF">
      <w:pPr>
        <w:numPr>
          <w:ilvl w:val="0"/>
          <w:numId w:val="4"/>
        </w:numPr>
        <w:contextualSpacing/>
        <w:rPr>
          <w:rFonts w:eastAsia="Georgia"/>
          <w:szCs w:val="24"/>
        </w:rPr>
      </w:pPr>
      <w:r w:rsidRPr="005977DF">
        <w:rPr>
          <w:rFonts w:eastAsia="Georgia"/>
          <w:szCs w:val="24"/>
        </w:rPr>
        <w:t>Teachers may choose to engage in whole class, small group, and/or individual exploration of the following activities:</w:t>
      </w:r>
    </w:p>
    <w:p w:rsidR="00EA6A5D" w:rsidRPr="005977DF" w:rsidRDefault="005977DF">
      <w:pPr>
        <w:numPr>
          <w:ilvl w:val="1"/>
          <w:numId w:val="4"/>
        </w:numPr>
        <w:contextualSpacing/>
        <w:rPr>
          <w:rFonts w:eastAsia="Georgia"/>
          <w:szCs w:val="24"/>
        </w:rPr>
      </w:pPr>
      <w:r w:rsidRPr="005977DF">
        <w:rPr>
          <w:rFonts w:eastAsia="Georgia"/>
          <w:szCs w:val="24"/>
        </w:rPr>
        <w:t>Amplifying Voices PowerPoint</w:t>
      </w:r>
      <w:r>
        <w:rPr>
          <w:rFonts w:eastAsia="Georgia"/>
          <w:szCs w:val="24"/>
        </w:rPr>
        <w:t xml:space="preserve"> (see attachment)</w:t>
      </w:r>
    </w:p>
    <w:p w:rsidR="00EA6A5D" w:rsidRPr="005977DF" w:rsidRDefault="005977DF" w:rsidP="005977DF">
      <w:pPr>
        <w:numPr>
          <w:ilvl w:val="1"/>
          <w:numId w:val="4"/>
        </w:numPr>
        <w:contextualSpacing/>
        <w:rPr>
          <w:rFonts w:eastAsia="Georgia"/>
          <w:szCs w:val="24"/>
        </w:rPr>
      </w:pPr>
      <w:r w:rsidRPr="005977DF">
        <w:rPr>
          <w:rFonts w:eastAsia="Georgia"/>
          <w:szCs w:val="24"/>
        </w:rPr>
        <w:t>Historical exploration via the Hampton Mansion’s Website</w:t>
      </w:r>
      <w:r>
        <w:rPr>
          <w:rFonts w:eastAsia="Georgia"/>
          <w:szCs w:val="24"/>
        </w:rPr>
        <w:t xml:space="preserve"> (</w:t>
      </w:r>
      <w:hyperlink r:id="rId5" w:history="1">
        <w:r w:rsidRPr="00FE3A60">
          <w:rPr>
            <w:rStyle w:val="Hyperlink"/>
            <w:rFonts w:eastAsia="Georgia"/>
            <w:szCs w:val="24"/>
          </w:rPr>
          <w:t>https://www.nps.gov/hamp/index.htm</w:t>
        </w:r>
      </w:hyperlink>
      <w:r>
        <w:rPr>
          <w:rFonts w:eastAsia="Georgia"/>
          <w:szCs w:val="24"/>
        </w:rPr>
        <w:t>)</w:t>
      </w:r>
    </w:p>
    <w:p w:rsidR="00EA6A5D" w:rsidRPr="005977DF" w:rsidRDefault="005977DF">
      <w:pPr>
        <w:numPr>
          <w:ilvl w:val="1"/>
          <w:numId w:val="4"/>
        </w:numPr>
        <w:contextualSpacing/>
        <w:rPr>
          <w:rFonts w:eastAsia="Georgia"/>
          <w:szCs w:val="24"/>
        </w:rPr>
      </w:pPr>
      <w:r w:rsidRPr="005977DF">
        <w:rPr>
          <w:rFonts w:eastAsia="Georgia"/>
          <w:szCs w:val="24"/>
        </w:rPr>
        <w:t xml:space="preserve">Poetic </w:t>
      </w:r>
      <w:r>
        <w:rPr>
          <w:rFonts w:eastAsia="Georgia"/>
          <w:szCs w:val="24"/>
        </w:rPr>
        <w:t>A</w:t>
      </w:r>
      <w:r w:rsidRPr="005977DF">
        <w:rPr>
          <w:rFonts w:eastAsia="Georgia"/>
          <w:szCs w:val="24"/>
        </w:rPr>
        <w:t>nalysis and TPCASTT</w:t>
      </w:r>
    </w:p>
    <w:p w:rsidR="00EA6A5D" w:rsidRPr="005977DF" w:rsidRDefault="005977DF">
      <w:pPr>
        <w:numPr>
          <w:ilvl w:val="1"/>
          <w:numId w:val="4"/>
        </w:numPr>
        <w:contextualSpacing/>
        <w:rPr>
          <w:rFonts w:eastAsia="Georgia"/>
          <w:szCs w:val="24"/>
        </w:rPr>
      </w:pPr>
      <w:r w:rsidRPr="005977DF">
        <w:rPr>
          <w:rFonts w:eastAsia="Georgia"/>
          <w:szCs w:val="24"/>
        </w:rPr>
        <w:t>Improving Inquiry and Inferences PowerPoint</w:t>
      </w:r>
      <w:r>
        <w:rPr>
          <w:rFonts w:eastAsia="Georgia"/>
          <w:szCs w:val="24"/>
        </w:rPr>
        <w:t xml:space="preserve"> (see attachment)</w:t>
      </w:r>
    </w:p>
    <w:p w:rsidR="00EA6A5D" w:rsidRPr="005977DF" w:rsidRDefault="005977DF">
      <w:pPr>
        <w:rPr>
          <w:rFonts w:eastAsia="Georgia"/>
          <w:szCs w:val="24"/>
        </w:rPr>
      </w:pPr>
      <w:r w:rsidRPr="005977DF">
        <w:rPr>
          <w:rFonts w:eastAsia="Georgia"/>
          <w:szCs w:val="24"/>
        </w:rPr>
        <w:t xml:space="preserve"> </w:t>
      </w:r>
    </w:p>
    <w:p w:rsidR="00EA6A5D" w:rsidRPr="005977DF" w:rsidRDefault="005977DF">
      <w:pPr>
        <w:rPr>
          <w:rFonts w:eastAsia="Georgia"/>
          <w:b/>
          <w:sz w:val="24"/>
          <w:szCs w:val="24"/>
        </w:rPr>
      </w:pPr>
      <w:r w:rsidRPr="005977DF">
        <w:rPr>
          <w:rFonts w:eastAsia="Georgia"/>
          <w:b/>
          <w:sz w:val="24"/>
          <w:szCs w:val="24"/>
        </w:rPr>
        <w:t>During the Visit to Hampton National Historic Site</w:t>
      </w:r>
    </w:p>
    <w:p w:rsidR="00EA6A5D" w:rsidRPr="005977DF" w:rsidRDefault="005977DF">
      <w:pPr>
        <w:rPr>
          <w:rFonts w:eastAsia="Georgia"/>
          <w:szCs w:val="24"/>
        </w:rPr>
      </w:pPr>
      <w:r w:rsidRPr="005977DF">
        <w:rPr>
          <w:rFonts w:eastAsia="Georgia"/>
          <w:szCs w:val="24"/>
        </w:rPr>
        <w:t xml:space="preserve"> </w:t>
      </w:r>
    </w:p>
    <w:p w:rsidR="00EA6A5D" w:rsidRPr="005977DF" w:rsidRDefault="005977DF">
      <w:pPr>
        <w:numPr>
          <w:ilvl w:val="0"/>
          <w:numId w:val="1"/>
        </w:numPr>
        <w:contextualSpacing/>
        <w:rPr>
          <w:rFonts w:eastAsia="Georgia"/>
          <w:szCs w:val="24"/>
        </w:rPr>
      </w:pPr>
      <w:r w:rsidRPr="005977DF">
        <w:rPr>
          <w:rFonts w:eastAsia="Georgia"/>
          <w:szCs w:val="24"/>
        </w:rPr>
        <w:t>Students should bring and pose their questions of the tour guide. They should take notes and pictures of details that they may want to use as inspiration for their writing.</w:t>
      </w:r>
    </w:p>
    <w:p w:rsidR="00EA6A5D" w:rsidRPr="005977DF" w:rsidRDefault="005977DF">
      <w:pPr>
        <w:numPr>
          <w:ilvl w:val="0"/>
          <w:numId w:val="1"/>
        </w:numPr>
        <w:contextualSpacing/>
        <w:rPr>
          <w:rFonts w:eastAsia="Georgia"/>
          <w:szCs w:val="24"/>
        </w:rPr>
      </w:pPr>
      <w:r w:rsidRPr="005977DF">
        <w:rPr>
          <w:rFonts w:eastAsia="Georgia"/>
          <w:szCs w:val="24"/>
        </w:rPr>
        <w:t xml:space="preserve">If possible, provide time for students to write at the site. Outside may be best if the weather is nice or </w:t>
      </w:r>
      <w:r>
        <w:rPr>
          <w:rFonts w:eastAsia="Georgia"/>
          <w:szCs w:val="24"/>
        </w:rPr>
        <w:t xml:space="preserve">the Orangery, if </w:t>
      </w:r>
      <w:r w:rsidRPr="005977DF">
        <w:rPr>
          <w:rFonts w:eastAsia="Georgia"/>
          <w:szCs w:val="24"/>
        </w:rPr>
        <w:t xml:space="preserve">available. </w:t>
      </w:r>
    </w:p>
    <w:p w:rsidR="00EA6A5D" w:rsidRPr="005977DF" w:rsidRDefault="005977DF">
      <w:pPr>
        <w:rPr>
          <w:rFonts w:eastAsia="Georgia"/>
          <w:szCs w:val="24"/>
        </w:rPr>
      </w:pPr>
      <w:r w:rsidRPr="005977DF">
        <w:rPr>
          <w:rFonts w:eastAsia="Georgia"/>
          <w:szCs w:val="24"/>
        </w:rPr>
        <w:t xml:space="preserve"> </w:t>
      </w:r>
    </w:p>
    <w:p w:rsidR="00EA6A5D" w:rsidRPr="005977DF" w:rsidRDefault="005977DF" w:rsidP="005977DF">
      <w:pPr>
        <w:ind w:firstLine="360"/>
        <w:rPr>
          <w:rFonts w:eastAsia="Georgia"/>
          <w:b/>
          <w:szCs w:val="24"/>
        </w:rPr>
      </w:pPr>
      <w:r w:rsidRPr="005977DF">
        <w:rPr>
          <w:rFonts w:eastAsia="Georgia"/>
          <w:b/>
          <w:szCs w:val="24"/>
        </w:rPr>
        <w:t>If</w:t>
      </w:r>
      <w:r>
        <w:rPr>
          <w:rFonts w:eastAsia="Georgia"/>
          <w:b/>
          <w:szCs w:val="24"/>
        </w:rPr>
        <w:t xml:space="preserve"> students are only able to visit</w:t>
      </w:r>
      <w:r w:rsidRPr="005977DF">
        <w:rPr>
          <w:rFonts w:eastAsia="Georgia"/>
          <w:b/>
          <w:szCs w:val="24"/>
        </w:rPr>
        <w:t xml:space="preserve"> </w:t>
      </w:r>
      <w:r>
        <w:rPr>
          <w:rFonts w:eastAsia="Georgia"/>
          <w:b/>
          <w:szCs w:val="24"/>
        </w:rPr>
        <w:t>the site digitally:</w:t>
      </w:r>
    </w:p>
    <w:p w:rsidR="00EA6A5D" w:rsidRPr="005977DF" w:rsidRDefault="005977DF">
      <w:pPr>
        <w:rPr>
          <w:rFonts w:eastAsia="Georgia"/>
          <w:szCs w:val="24"/>
        </w:rPr>
      </w:pPr>
      <w:r w:rsidRPr="005977DF">
        <w:rPr>
          <w:rFonts w:eastAsia="Georgia"/>
          <w:szCs w:val="24"/>
        </w:rPr>
        <w:t xml:space="preserve"> </w:t>
      </w:r>
    </w:p>
    <w:p w:rsidR="00EA6A5D" w:rsidRPr="00AD136A" w:rsidRDefault="005977DF">
      <w:pPr>
        <w:numPr>
          <w:ilvl w:val="0"/>
          <w:numId w:val="2"/>
        </w:numPr>
        <w:contextualSpacing/>
        <w:rPr>
          <w:rFonts w:eastAsia="Georgia"/>
          <w:szCs w:val="24"/>
        </w:rPr>
      </w:pPr>
      <w:r w:rsidRPr="005977DF">
        <w:rPr>
          <w:rFonts w:eastAsia="Georgia"/>
          <w:szCs w:val="24"/>
        </w:rPr>
        <w:t xml:space="preserve">If a visit is not feasible, </w:t>
      </w:r>
      <w:r>
        <w:rPr>
          <w:rFonts w:eastAsia="Georgia"/>
          <w:szCs w:val="24"/>
        </w:rPr>
        <w:t>the teacher can use the “</w:t>
      </w:r>
      <w:r w:rsidRPr="005977DF">
        <w:rPr>
          <w:rFonts w:eastAsia="Georgia"/>
          <w:szCs w:val="24"/>
        </w:rPr>
        <w:t>Images of Hampton Mansion</w:t>
      </w:r>
      <w:r>
        <w:rPr>
          <w:rFonts w:eastAsia="Georgia"/>
          <w:szCs w:val="24"/>
        </w:rPr>
        <w:t>”</w:t>
      </w:r>
      <w:r w:rsidRPr="005977DF">
        <w:rPr>
          <w:rFonts w:eastAsia="Georgia"/>
          <w:szCs w:val="24"/>
        </w:rPr>
        <w:t xml:space="preserve"> for </w:t>
      </w:r>
      <w:r w:rsidRPr="00AD136A">
        <w:rPr>
          <w:rFonts w:eastAsia="Georgia"/>
          <w:szCs w:val="24"/>
        </w:rPr>
        <w:t>additional images if desired:</w:t>
      </w:r>
    </w:p>
    <w:p w:rsidR="00EA6A5D" w:rsidRPr="00AD136A" w:rsidRDefault="005977DF">
      <w:pPr>
        <w:numPr>
          <w:ilvl w:val="0"/>
          <w:numId w:val="2"/>
        </w:numPr>
        <w:contextualSpacing/>
        <w:rPr>
          <w:rFonts w:eastAsia="Georgia"/>
          <w:szCs w:val="24"/>
        </w:rPr>
      </w:pPr>
      <w:r w:rsidRPr="00AD136A">
        <w:rPr>
          <w:rFonts w:eastAsia="Georgia"/>
          <w:szCs w:val="24"/>
        </w:rPr>
        <w:t>Answers to the questions posed via the Improving Inquiry and Inferences PowerPoint:</w:t>
      </w:r>
    </w:p>
    <w:p w:rsidR="00EA6A5D" w:rsidRPr="00AD136A" w:rsidRDefault="00AD136A">
      <w:pPr>
        <w:numPr>
          <w:ilvl w:val="1"/>
          <w:numId w:val="2"/>
        </w:numPr>
        <w:contextualSpacing/>
        <w:rPr>
          <w:rFonts w:eastAsia="Georgia"/>
          <w:szCs w:val="24"/>
        </w:rPr>
      </w:pPr>
      <w:r>
        <w:rPr>
          <w:rFonts w:eastAsia="Georgia"/>
          <w:szCs w:val="24"/>
        </w:rPr>
        <w:t xml:space="preserve">Slide 3 – </w:t>
      </w:r>
      <w:r w:rsidR="005977DF" w:rsidRPr="00AD136A">
        <w:rPr>
          <w:rFonts w:eastAsia="Georgia"/>
          <w:szCs w:val="24"/>
        </w:rPr>
        <w:t>Bells (with different tones) summoning specific individuals</w:t>
      </w:r>
    </w:p>
    <w:p w:rsidR="00EA6A5D" w:rsidRPr="00AD136A" w:rsidRDefault="00AD136A">
      <w:pPr>
        <w:numPr>
          <w:ilvl w:val="1"/>
          <w:numId w:val="2"/>
        </w:numPr>
        <w:contextualSpacing/>
        <w:rPr>
          <w:rFonts w:eastAsia="Georgia"/>
          <w:szCs w:val="24"/>
        </w:rPr>
      </w:pPr>
      <w:r>
        <w:rPr>
          <w:rFonts w:eastAsia="Georgia"/>
          <w:szCs w:val="24"/>
        </w:rPr>
        <w:t>Slide 4 – T</w:t>
      </w:r>
      <w:r w:rsidR="005977DF" w:rsidRPr="00AD136A">
        <w:rPr>
          <w:rFonts w:eastAsia="Georgia"/>
          <w:szCs w:val="24"/>
        </w:rPr>
        <w:t>he Orangery</w:t>
      </w:r>
    </w:p>
    <w:p w:rsidR="00EA6A5D" w:rsidRPr="00AD136A" w:rsidRDefault="005977DF">
      <w:pPr>
        <w:numPr>
          <w:ilvl w:val="1"/>
          <w:numId w:val="2"/>
        </w:numPr>
        <w:contextualSpacing/>
        <w:rPr>
          <w:rFonts w:eastAsia="Georgia"/>
          <w:szCs w:val="24"/>
        </w:rPr>
      </w:pPr>
      <w:r w:rsidRPr="00AD136A">
        <w:rPr>
          <w:rFonts w:eastAsia="Georgia"/>
          <w:szCs w:val="24"/>
        </w:rPr>
        <w:t xml:space="preserve">Slide </w:t>
      </w:r>
      <w:r w:rsidR="00AD136A">
        <w:rPr>
          <w:rFonts w:eastAsia="Georgia"/>
          <w:szCs w:val="24"/>
        </w:rPr>
        <w:t>5 – T</w:t>
      </w:r>
      <w:r w:rsidRPr="00AD136A">
        <w:rPr>
          <w:rFonts w:eastAsia="Georgia"/>
          <w:szCs w:val="24"/>
        </w:rPr>
        <w:t>he Ice House</w:t>
      </w:r>
    </w:p>
    <w:p w:rsidR="00EA6A5D" w:rsidRPr="00AD136A" w:rsidRDefault="00AD136A">
      <w:pPr>
        <w:numPr>
          <w:ilvl w:val="1"/>
          <w:numId w:val="2"/>
        </w:numPr>
        <w:contextualSpacing/>
        <w:rPr>
          <w:rFonts w:eastAsia="Georgia"/>
          <w:szCs w:val="24"/>
        </w:rPr>
      </w:pPr>
      <w:r>
        <w:rPr>
          <w:rFonts w:eastAsia="Georgia"/>
          <w:szCs w:val="24"/>
        </w:rPr>
        <w:t>Slide 6 – O</w:t>
      </w:r>
      <w:r w:rsidR="005977DF" w:rsidRPr="00AD136A">
        <w:rPr>
          <w:rFonts w:eastAsia="Georgia"/>
          <w:szCs w:val="24"/>
        </w:rPr>
        <w:t>ranges and ice cream</w:t>
      </w:r>
    </w:p>
    <w:p w:rsidR="00EA6A5D" w:rsidRPr="00AD136A" w:rsidRDefault="00AD136A">
      <w:pPr>
        <w:numPr>
          <w:ilvl w:val="1"/>
          <w:numId w:val="2"/>
        </w:numPr>
        <w:contextualSpacing/>
        <w:rPr>
          <w:rFonts w:eastAsia="Georgia"/>
          <w:szCs w:val="24"/>
        </w:rPr>
      </w:pPr>
      <w:r>
        <w:rPr>
          <w:rFonts w:eastAsia="Georgia"/>
          <w:szCs w:val="24"/>
        </w:rPr>
        <w:t>Slide 7 – T</w:t>
      </w:r>
      <w:r w:rsidR="005977DF" w:rsidRPr="00AD136A">
        <w:rPr>
          <w:rFonts w:eastAsia="Georgia"/>
          <w:szCs w:val="24"/>
        </w:rPr>
        <w:t>he Dairy</w:t>
      </w:r>
    </w:p>
    <w:p w:rsidR="00EA6A5D" w:rsidRPr="00AD136A" w:rsidRDefault="00AD136A">
      <w:pPr>
        <w:numPr>
          <w:ilvl w:val="1"/>
          <w:numId w:val="2"/>
        </w:numPr>
        <w:contextualSpacing/>
        <w:rPr>
          <w:rFonts w:eastAsia="Georgia"/>
          <w:szCs w:val="24"/>
        </w:rPr>
      </w:pPr>
      <w:r>
        <w:rPr>
          <w:rFonts w:eastAsia="Georgia"/>
          <w:szCs w:val="24"/>
        </w:rPr>
        <w:t>Slide 8 – A</w:t>
      </w:r>
      <w:r w:rsidR="005977DF" w:rsidRPr="00AD136A">
        <w:rPr>
          <w:rFonts w:eastAsia="Georgia"/>
          <w:szCs w:val="24"/>
        </w:rPr>
        <w:t xml:space="preserve"> courting bench</w:t>
      </w:r>
    </w:p>
    <w:p w:rsidR="00EA6A5D" w:rsidRPr="00AD136A" w:rsidRDefault="005977DF">
      <w:pPr>
        <w:rPr>
          <w:rFonts w:eastAsia="Georgia"/>
          <w:szCs w:val="24"/>
        </w:rPr>
      </w:pPr>
      <w:r w:rsidRPr="00AD136A">
        <w:rPr>
          <w:rFonts w:eastAsia="Georgia"/>
          <w:szCs w:val="24"/>
        </w:rPr>
        <w:t xml:space="preserve"> </w:t>
      </w:r>
    </w:p>
    <w:p w:rsidR="00EA6A5D" w:rsidRPr="00AD136A" w:rsidRDefault="005977DF">
      <w:pPr>
        <w:rPr>
          <w:rFonts w:eastAsia="Georgia"/>
          <w:sz w:val="24"/>
          <w:szCs w:val="24"/>
        </w:rPr>
      </w:pPr>
      <w:r w:rsidRPr="00AD136A">
        <w:rPr>
          <w:rFonts w:eastAsia="Georgia"/>
          <w:b/>
          <w:sz w:val="24"/>
          <w:szCs w:val="24"/>
        </w:rPr>
        <w:t>Follow Up After the Visit</w:t>
      </w:r>
      <w:r w:rsidRPr="00AD136A">
        <w:rPr>
          <w:rFonts w:eastAsia="Georgia"/>
          <w:sz w:val="24"/>
          <w:szCs w:val="24"/>
        </w:rPr>
        <w:t xml:space="preserve"> (Classroom Activities):</w:t>
      </w:r>
    </w:p>
    <w:p w:rsidR="00EA6A5D" w:rsidRPr="00AD136A" w:rsidRDefault="005977DF">
      <w:pPr>
        <w:rPr>
          <w:rFonts w:eastAsia="Georgia"/>
          <w:szCs w:val="24"/>
        </w:rPr>
      </w:pPr>
      <w:r w:rsidRPr="00AD136A">
        <w:rPr>
          <w:rFonts w:eastAsia="Georgia"/>
          <w:szCs w:val="24"/>
        </w:rPr>
        <w:t xml:space="preserve"> </w:t>
      </w:r>
    </w:p>
    <w:p w:rsidR="00EA6A5D" w:rsidRPr="00AD136A" w:rsidRDefault="005977DF">
      <w:pPr>
        <w:numPr>
          <w:ilvl w:val="0"/>
          <w:numId w:val="3"/>
        </w:numPr>
        <w:contextualSpacing/>
        <w:rPr>
          <w:rFonts w:eastAsia="Georgia"/>
          <w:szCs w:val="24"/>
        </w:rPr>
      </w:pPr>
      <w:r w:rsidRPr="00AD136A">
        <w:rPr>
          <w:rFonts w:eastAsia="Georgia"/>
          <w:szCs w:val="24"/>
        </w:rPr>
        <w:t>Provide an opportunity for students to write in order to contemplate questions that remain and issues of importance to them.</w:t>
      </w:r>
    </w:p>
    <w:p w:rsidR="00EA6A5D" w:rsidRPr="00AD136A" w:rsidRDefault="005977DF">
      <w:pPr>
        <w:numPr>
          <w:ilvl w:val="0"/>
          <w:numId w:val="3"/>
        </w:numPr>
        <w:contextualSpacing/>
        <w:rPr>
          <w:rFonts w:eastAsia="Georgia"/>
          <w:szCs w:val="24"/>
        </w:rPr>
      </w:pPr>
      <w:r w:rsidRPr="00AD136A">
        <w:rPr>
          <w:rFonts w:eastAsia="Georgia"/>
          <w:szCs w:val="24"/>
        </w:rPr>
        <w:lastRenderedPageBreak/>
        <w:t>Consider providing time for extension with current societal issues; students could explore issues of marginalization in our society. Consider visiting the following websites for inspiration:</w:t>
      </w:r>
    </w:p>
    <w:p w:rsidR="00EA6A5D" w:rsidRPr="00AD136A" w:rsidRDefault="005977DF">
      <w:pPr>
        <w:numPr>
          <w:ilvl w:val="1"/>
          <w:numId w:val="3"/>
        </w:numPr>
        <w:contextualSpacing/>
        <w:rPr>
          <w:rFonts w:eastAsia="Georgia"/>
          <w:szCs w:val="24"/>
        </w:rPr>
      </w:pPr>
      <w:r w:rsidRPr="00AD136A">
        <w:rPr>
          <w:szCs w:val="24"/>
        </w:rPr>
        <w:fldChar w:fldCharType="begin"/>
      </w:r>
      <w:r w:rsidRPr="00AD136A">
        <w:rPr>
          <w:szCs w:val="24"/>
        </w:rPr>
        <w:instrText xml:space="preserve"> HYPERLINK "https://www.tolerance.org/" </w:instrText>
      </w:r>
      <w:r w:rsidRPr="00AD136A">
        <w:rPr>
          <w:szCs w:val="24"/>
        </w:rPr>
        <w:fldChar w:fldCharType="separate"/>
      </w:r>
      <w:r w:rsidRPr="00AD136A">
        <w:rPr>
          <w:rFonts w:eastAsia="Georgia"/>
          <w:color w:val="1155CC"/>
          <w:szCs w:val="24"/>
          <w:u w:val="single"/>
        </w:rPr>
        <w:t>https://www.tolerance.org/</w:t>
      </w:r>
    </w:p>
    <w:p w:rsidR="00EA6A5D" w:rsidRPr="00AD136A" w:rsidRDefault="005977DF">
      <w:pPr>
        <w:numPr>
          <w:ilvl w:val="1"/>
          <w:numId w:val="3"/>
        </w:numPr>
        <w:contextualSpacing/>
        <w:rPr>
          <w:rFonts w:eastAsia="Georgia"/>
          <w:szCs w:val="24"/>
        </w:rPr>
      </w:pPr>
      <w:r w:rsidRPr="00AD136A">
        <w:rPr>
          <w:szCs w:val="24"/>
        </w:rPr>
        <w:fldChar w:fldCharType="end"/>
      </w:r>
      <w:r w:rsidRPr="00AD136A">
        <w:rPr>
          <w:szCs w:val="24"/>
        </w:rPr>
        <w:fldChar w:fldCharType="begin"/>
      </w:r>
      <w:r w:rsidRPr="00AD136A">
        <w:rPr>
          <w:szCs w:val="24"/>
        </w:rPr>
        <w:instrText xml:space="preserve"> HYPERLINK "https://www.facinghistory.org/topics" </w:instrText>
      </w:r>
      <w:r w:rsidRPr="00AD136A">
        <w:rPr>
          <w:szCs w:val="24"/>
        </w:rPr>
        <w:fldChar w:fldCharType="separate"/>
      </w:r>
      <w:r w:rsidRPr="00AD136A">
        <w:rPr>
          <w:rFonts w:eastAsia="Georgia"/>
          <w:color w:val="1155CC"/>
          <w:szCs w:val="24"/>
          <w:u w:val="single"/>
        </w:rPr>
        <w:t>https://www.facinghistory.org/topics</w:t>
      </w:r>
    </w:p>
    <w:p w:rsidR="00EA6A5D" w:rsidRPr="00AD136A" w:rsidRDefault="005977DF">
      <w:pPr>
        <w:numPr>
          <w:ilvl w:val="1"/>
          <w:numId w:val="3"/>
        </w:numPr>
        <w:contextualSpacing/>
        <w:rPr>
          <w:rFonts w:eastAsia="Georgia"/>
          <w:szCs w:val="24"/>
        </w:rPr>
      </w:pPr>
      <w:r w:rsidRPr="00AD136A">
        <w:rPr>
          <w:szCs w:val="24"/>
        </w:rPr>
        <w:fldChar w:fldCharType="end"/>
      </w:r>
      <w:r w:rsidRPr="00AD136A">
        <w:rPr>
          <w:szCs w:val="24"/>
        </w:rPr>
        <w:fldChar w:fldCharType="begin"/>
      </w:r>
      <w:r w:rsidRPr="00AD136A">
        <w:rPr>
          <w:szCs w:val="24"/>
        </w:rPr>
        <w:instrText xml:space="preserve"> HYPERLINK "http://www.right-to-education.org/issue-page/marginalised-groups" </w:instrText>
      </w:r>
      <w:r w:rsidRPr="00AD136A">
        <w:rPr>
          <w:szCs w:val="24"/>
        </w:rPr>
        <w:fldChar w:fldCharType="separate"/>
      </w:r>
      <w:r w:rsidRPr="00AD136A">
        <w:rPr>
          <w:rFonts w:eastAsia="Georgia"/>
          <w:color w:val="1155CC"/>
          <w:szCs w:val="24"/>
          <w:u w:val="single"/>
        </w:rPr>
        <w:t>http://www.right-to-education.org/issue-page/marginalised-groups</w:t>
      </w:r>
    </w:p>
    <w:p w:rsidR="00EA6A5D" w:rsidRPr="00AD136A" w:rsidRDefault="005977DF">
      <w:pPr>
        <w:numPr>
          <w:ilvl w:val="1"/>
          <w:numId w:val="3"/>
        </w:numPr>
        <w:contextualSpacing/>
        <w:rPr>
          <w:rFonts w:eastAsia="Georgia"/>
          <w:szCs w:val="24"/>
        </w:rPr>
      </w:pPr>
      <w:r w:rsidRPr="00AD136A">
        <w:rPr>
          <w:szCs w:val="24"/>
        </w:rPr>
        <w:fldChar w:fldCharType="end"/>
      </w:r>
      <w:r w:rsidRPr="00AD136A">
        <w:rPr>
          <w:szCs w:val="24"/>
        </w:rPr>
        <w:fldChar w:fldCharType="begin"/>
      </w:r>
      <w:r w:rsidRPr="00AD136A">
        <w:rPr>
          <w:szCs w:val="24"/>
        </w:rPr>
        <w:instrText xml:space="preserve"> HYPERLINK "https://www.glsen.org/unheardvoices.html" </w:instrText>
      </w:r>
      <w:r w:rsidRPr="00AD136A">
        <w:rPr>
          <w:szCs w:val="24"/>
        </w:rPr>
        <w:fldChar w:fldCharType="separate"/>
      </w:r>
      <w:r w:rsidRPr="00AD136A">
        <w:rPr>
          <w:rFonts w:eastAsia="Georgia"/>
          <w:color w:val="1155CC"/>
          <w:szCs w:val="24"/>
          <w:u w:val="single"/>
        </w:rPr>
        <w:t>https://www.glsen.org/unheardvoices.html</w:t>
      </w:r>
    </w:p>
    <w:p w:rsidR="00EA6A5D" w:rsidRPr="00AD136A" w:rsidRDefault="005977DF">
      <w:pPr>
        <w:numPr>
          <w:ilvl w:val="1"/>
          <w:numId w:val="3"/>
        </w:numPr>
        <w:contextualSpacing/>
        <w:rPr>
          <w:rFonts w:eastAsia="Georgia"/>
          <w:szCs w:val="24"/>
        </w:rPr>
      </w:pPr>
      <w:r w:rsidRPr="00AD136A">
        <w:rPr>
          <w:szCs w:val="24"/>
        </w:rPr>
        <w:fldChar w:fldCharType="end"/>
      </w:r>
      <w:hyperlink r:id="rId6">
        <w:r w:rsidRPr="00AD136A">
          <w:rPr>
            <w:rFonts w:eastAsia="Georgia"/>
            <w:color w:val="1155CC"/>
            <w:szCs w:val="24"/>
            <w:u w:val="single"/>
          </w:rPr>
          <w:t>https://www.opensocietyfoundations.org/publications/amplifying-voices-1</w:t>
        </w:r>
      </w:hyperlink>
    </w:p>
    <w:p w:rsidR="00EA6A5D" w:rsidRPr="00AD136A" w:rsidRDefault="005977DF">
      <w:pPr>
        <w:numPr>
          <w:ilvl w:val="1"/>
          <w:numId w:val="3"/>
        </w:numPr>
        <w:contextualSpacing/>
        <w:rPr>
          <w:rFonts w:eastAsia="Georgia"/>
          <w:szCs w:val="24"/>
        </w:rPr>
      </w:pPr>
      <w:r w:rsidRPr="00AD136A">
        <w:rPr>
          <w:szCs w:val="24"/>
        </w:rPr>
        <w:fldChar w:fldCharType="begin"/>
      </w:r>
      <w:r w:rsidRPr="00AD136A">
        <w:rPr>
          <w:szCs w:val="24"/>
        </w:rPr>
        <w:instrText xml:space="preserve"> HYPERLINK "https://www.barnardos.ie/what-we-do/our-services/specialist-services/amplifying-voices.html" </w:instrText>
      </w:r>
      <w:r w:rsidRPr="00AD136A">
        <w:rPr>
          <w:szCs w:val="24"/>
        </w:rPr>
        <w:fldChar w:fldCharType="separate"/>
      </w:r>
      <w:r w:rsidRPr="00AD136A">
        <w:rPr>
          <w:rFonts w:eastAsia="Georgia"/>
          <w:color w:val="1155CC"/>
          <w:szCs w:val="24"/>
          <w:u w:val="single"/>
        </w:rPr>
        <w:t>https://www.barnardos.ie/what-we-do/our-services/specialist-services/amplifying-voices.html</w:t>
      </w:r>
    </w:p>
    <w:p w:rsidR="00EA6A5D" w:rsidRPr="005977DF" w:rsidRDefault="005977DF">
      <w:pPr>
        <w:rPr>
          <w:szCs w:val="24"/>
        </w:rPr>
      </w:pPr>
      <w:r w:rsidRPr="00AD136A">
        <w:rPr>
          <w:szCs w:val="24"/>
        </w:rPr>
        <w:fldChar w:fldCharType="end"/>
      </w:r>
    </w:p>
    <w:sectPr w:rsidR="00EA6A5D" w:rsidRPr="005977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642"/>
    <w:multiLevelType w:val="multilevel"/>
    <w:tmpl w:val="147C5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5E5D63"/>
    <w:multiLevelType w:val="multilevel"/>
    <w:tmpl w:val="C94AD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3A7962"/>
    <w:multiLevelType w:val="multilevel"/>
    <w:tmpl w:val="FAF8B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A53DCC"/>
    <w:multiLevelType w:val="multilevel"/>
    <w:tmpl w:val="E7CC3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6A5D"/>
    <w:rsid w:val="00422FB4"/>
    <w:rsid w:val="005977DF"/>
    <w:rsid w:val="00AD136A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7BDFF-1DE6-433F-8140-180F574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9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societyfoundations.org/publications/amplifying-voices-1" TargetMode="External"/><Relationship Id="rId5" Type="http://schemas.openxmlformats.org/officeDocument/2006/relationships/hyperlink" Target="https://www.nps.gov/hamp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Horton, Arlo J.</cp:lastModifiedBy>
  <cp:revision>5</cp:revision>
  <dcterms:created xsi:type="dcterms:W3CDTF">2018-04-16T16:56:00Z</dcterms:created>
  <dcterms:modified xsi:type="dcterms:W3CDTF">2018-04-24T12:44:00Z</dcterms:modified>
</cp:coreProperties>
</file>